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360" w:lineRule="auto"/>
        <w:ind w:firstLine="360"/>
        <w:jc w:val="both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Тендерна документація </w:t>
      </w:r>
      <w:r w:rsidDel="00000000" w:rsidR="00000000" w:rsidRPr="00000000">
        <w:rPr>
          <w:b w:val="1"/>
          <w:sz w:val="36"/>
          <w:szCs w:val="36"/>
          <w:rtl w:val="0"/>
        </w:rPr>
        <w:t xml:space="preserve">на закупівлю програмного продукту  у вигляді результатів комп'ютерного програмування 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(в тому числі розробки технічного завдання та реєстрації інтелектуальної власності) </w:t>
      </w:r>
    </w:p>
    <w:p w:rsidR="00000000" w:rsidDel="00000000" w:rsidP="00000000" w:rsidRDefault="00000000" w:rsidRPr="00000000" w14:paraId="00000003">
      <w:pPr>
        <w:spacing w:after="200" w:lineRule="auto"/>
        <w:ind w:firstLine="360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в рамках проєкту «Полегшення доступу до житлових рішень для внутрішньо переміщених осіб (далі – ВПО) та людей, які постраждали від військового конфлікту, на рівні громади», який реалізується в межах  гранту, наданого проєктом Ради Європи «Внутрішнє переміщення в Україні: розробка тривалих рішень. Фаза ІІ»  на підставі договору між Радою Європи та Громадською організацією «Всеукраїнська громадська організація «Хаусінг Юкрейн», (далі по тексту – Хаусінг Юкрейн)  №8748/2022/GA/1 від 21 липня 2022 року.</w:t>
      </w:r>
    </w:p>
    <w:p w:rsidR="00000000" w:rsidDel="00000000" w:rsidP="00000000" w:rsidRDefault="00000000" w:rsidRPr="00000000" w14:paraId="00000004">
      <w:pPr>
        <w:spacing w:after="80" w:before="360" w:lineRule="auto"/>
        <w:ind w:firstLine="360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360" w:lineRule="auto"/>
        <w:ind w:firstLine="36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A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КИЇВ 2022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ind w:firstLine="425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1.Термін надання послуг/ виконання робіт: </w:t>
      </w:r>
      <w:r w:rsidDel="00000000" w:rsidR="00000000" w:rsidRPr="00000000">
        <w:rPr>
          <w:color w:val="000000"/>
          <w:rtl w:val="0"/>
        </w:rPr>
        <w:t xml:space="preserve">з 15 серпня 2022 року по 01 листопада 2022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firstLine="36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Очікуваний результат: </w:t>
      </w:r>
      <w:r w:rsidDel="00000000" w:rsidR="00000000" w:rsidRPr="00000000">
        <w:rPr>
          <w:color w:val="000000"/>
          <w:rtl w:val="0"/>
        </w:rPr>
        <w:t xml:space="preserve">Підписання контракту. Розробка дет</w:t>
      </w:r>
      <w:r w:rsidDel="00000000" w:rsidR="00000000" w:rsidRPr="00000000">
        <w:rPr>
          <w:rtl w:val="0"/>
        </w:rPr>
        <w:t xml:space="preserve">алізованого</w:t>
      </w:r>
      <w:r w:rsidDel="00000000" w:rsidR="00000000" w:rsidRPr="00000000">
        <w:rPr>
          <w:color w:val="000000"/>
          <w:rtl w:val="0"/>
        </w:rPr>
        <w:t xml:space="preserve"> Технічного завдання до програмного продукту. Розроблення та передача  програмного продукту Замовнику в рамках Проекту. Оформлення договорів щодо розпорядження  майновими правами інтелектуальної власності на програмний продукт на  </w:t>
      </w:r>
      <w:r w:rsidDel="00000000" w:rsidR="00000000" w:rsidRPr="00000000">
        <w:rPr>
          <w:rtl w:val="0"/>
        </w:rPr>
        <w:t xml:space="preserve">ім'я</w:t>
      </w:r>
      <w:r w:rsidDel="00000000" w:rsidR="00000000" w:rsidRPr="00000000">
        <w:rPr>
          <w:color w:val="000000"/>
          <w:rtl w:val="0"/>
        </w:rPr>
        <w:t xml:space="preserve"> Хаусінг Юкрейн (підписання ліцензійного договору та отримання виключної ліцензії на право використання програмного продукту з правом поширення цього продукту третім особам).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2. Обов’язкові технічні та кваліфікаційні вимоги до постачальника: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Layout w:type="fixed"/>
        <w:tblLook w:val="0400"/>
      </w:tblPr>
      <w:tblGrid>
        <w:gridCol w:w="498"/>
        <w:gridCol w:w="5276"/>
        <w:gridCol w:w="3571"/>
        <w:tblGridChange w:id="0">
          <w:tblGrid>
            <w:gridCol w:w="498"/>
            <w:gridCol w:w="5276"/>
            <w:gridCol w:w="3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Обов’язкові кваліфікаційні вимоги до постачальника товарів або виконавця робіт та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Документи , які підтверджують відповідність кваліфікаційним вимогам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Наявність досвіду роботи (</w:t>
            </w:r>
            <w:r w:rsidDel="00000000" w:rsidR="00000000" w:rsidRPr="00000000">
              <w:rPr>
                <w:color w:val="000000"/>
                <w:rtl w:val="0"/>
              </w:rPr>
              <w:t xml:space="preserve">не менш як 5 років) з надання послуг з розробки технічного завдання та розроблення програмного продукту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Довідка учасника в довільній формі про наявний досвід роботи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Інформація щодо реалізованих проектів за останні 1-2 роки:  Технології, які використовувались при створенні програмного продукту;           Підтверджене портфоліо з розробки програмних продуктів, аналогічних за контентом та масштабом.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Довідка учасника в довільній формі щодо переліку, кількості  та якості  розроблених програмних продуктів та технології, що були використані за останні 1-2 роки.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Спроможність компанії та наявність кваліфікованої команди розробників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Довідка учасника в довільній формі про матеріально-технічну базу та команду розробників.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Підтвердження права на здійснення підприємницької діяльності за законодавством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Копія статуту (для юридичних осіб), копія виписки з ЄДР;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документ, що підтверджує право підпису.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0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          </w:t>
      </w:r>
    </w:p>
    <w:p w:rsidR="00000000" w:rsidDel="00000000" w:rsidP="00000000" w:rsidRDefault="00000000" w:rsidRPr="00000000" w14:paraId="00000026">
      <w:pPr>
        <w:spacing w:after="20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3. Вимоги до предмету закупівлі: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0.0" w:type="dxa"/>
        <w:tblLayout w:type="fixed"/>
        <w:tblLook w:val="0400"/>
      </w:tblPr>
      <w:tblGrid>
        <w:gridCol w:w="498"/>
        <w:gridCol w:w="3971"/>
        <w:gridCol w:w="4876"/>
        <w:tblGridChange w:id="0">
          <w:tblGrid>
            <w:gridCol w:w="498"/>
            <w:gridCol w:w="3971"/>
            <w:gridCol w:w="48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Обов’язкові технічні вимоги до предмета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Документи, які підтверджують відповідність технічним вимогам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Деталізоване </w:t>
            </w:r>
            <w:r w:rsidDel="00000000" w:rsidR="00000000" w:rsidRPr="00000000">
              <w:rPr>
                <w:color w:val="000000"/>
                <w:rtl w:val="0"/>
              </w:rPr>
              <w:t xml:space="preserve">Технічне завдання для розробки програмного забезпечення має передбачати створення цифрової платформи для картографування зруйнованого та пошкодженого житла та надання житлової допомоги на рівні громад.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Ключові вимоги мають бути визначені у технічному завданні, зокрема: застосованість до інших громад, які постраждали внаслідок військової агресії проти України; інструменти визначення пріоритетності  надання  допомоги для відбудови житла на основі критеріїв уразливості та оцінки потреб; оцінка масштабу збитку; облік наданої житлової допомоги та завершення реконструкції.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Цифрова платформа має бути здатна до поширення в інших громадах, її мультиплікаційний ефект має бути випробуваний у громадах Краматорська та Кривого Рогу.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Тендерна пропозиція, оформлена згідно з Додатком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Програмне забезпечення має відповідати Додатку 1</w:t>
            </w:r>
            <w:r w:rsidDel="00000000" w:rsidR="00000000" w:rsidRPr="00000000">
              <w:rPr>
                <w:rtl w:val="0"/>
              </w:rPr>
              <w:t xml:space="preserve"> та</w:t>
            </w:r>
            <w:r w:rsidDel="00000000" w:rsidR="00000000" w:rsidRPr="00000000">
              <w:rPr>
                <w:color w:val="000000"/>
                <w:rtl w:val="0"/>
              </w:rPr>
              <w:t xml:space="preserve"> слугувати для потенційних донорів джерелом достовірних, перевірених даних про масштаби пошкодження житла та перелік отримувачів житлової допомоги.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pos="0"/>
                <w:tab w:val="left" w:pos="1134"/>
              </w:tabs>
              <w:spacing w:after="120" w:lineRule="auto"/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Тендерна пропозиція, оформлена згідно з Додатком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Майнові права інтелектуальної власності на програмний продукт  передаються  Хаусінг Юкрейн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Заява-зобов’язання,  в довільній формі щодо оформлення договорів  розпорядження  майновими правами інтелектуальної власності на програмний продукт на Хаусінг Юкрейн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4. Критерії оцінки тендерних пропозицій, які відповідатимуть обов’язковим технічним та кваліфікаційним вимогам, та їх вагові коефіцієнти: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0.0" w:type="dxa"/>
        <w:tblLayout w:type="fixed"/>
        <w:tblLook w:val="0400"/>
      </w:tblPr>
      <w:tblGrid>
        <w:gridCol w:w="484"/>
        <w:gridCol w:w="6559"/>
        <w:gridCol w:w="2302"/>
        <w:tblGridChange w:id="0">
          <w:tblGrid>
            <w:gridCol w:w="484"/>
            <w:gridCol w:w="6559"/>
            <w:gridCol w:w="23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Критерій оцінки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Ваговий коефіцієнт,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Вартість виконання робіт та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Тендерна пропозиція щодо змісту технічного завдання та опис програмного продукту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Досвід та спроможність постачальника програмного продукту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Додаткова інформація (заповнюється у разі необхідності):</w:t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До оцінювання згідно критеріям оцінки допускаються тендерні пропозиції,  які відповідатимуть обов’язковим технічним та кваліфікаційним вимогам. Невідповідність тендерної пропозиції учасника хоча б одній з технічних вимог призводить до автоматичної повної дискваліфікації такої тендерної пропозиції.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Заява про надання тендерної пропозиції складається в довільній формі.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ind w:firstLine="708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Тендерна пропозиція складається за формою відповідно до Додатку 1 та обов’язково має включати всі документи відповідно до вимог цієї тендерної документації.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ind w:firstLine="708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ПОРЯДОК ОТРИМАННЯ ТЕНДЕРНОЇ ПРОПОЗИЦІЇ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Rule="auto"/>
        <w:ind w:right="147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Тендерні пропозиції надсилаються у електронному вигляді на адресу: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HousingUkraine@gmail.com</w:t>
        </w:r>
      </w:hyperlink>
      <w:r w:rsidDel="00000000" w:rsidR="00000000" w:rsidRPr="00000000">
        <w:rPr>
          <w:color w:val="000000"/>
          <w:rtl w:val="0"/>
        </w:rPr>
        <w:t xml:space="preserve">, у темі листа необхідно вказати: «Тендер -8748/2022/GA/1».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Rule="auto"/>
        <w:ind w:firstLine="708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ПРАВИЛА ОФОРМЛЕННЯ ТЕНДЕРНОЇ ПРОПОЗИЦІЇ УЧАСНИКА ТОРГІВ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28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Учасники мають подавати тендерні пропозиції у електронному вигляді.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Надані сканкопії документів мають бути розбірливими та якісними.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Відповідальність за достовірність наданої інформації в своїй тендерній пропозиції несе учасник.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Строк дії тендерної пропозиції повинен становити не менше 30 днів з дати закінчення терміну надання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У разі, якщо тендерна пропозиція надійшла після спливу кінцевого терміну приймання тендерних пропозицій, то така пропозиція не приймається до оцінки.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28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До участі у оцінці тендерних пропозицій Тендерним комітетом допускаються тендерні пропозиції, які повністю відповідають умовам Оголошення та формі тендерної пропозиції.</w:t>
        <w:tab/>
        <w:tab/>
        <w:tab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8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Замовник залишає за собою право надсилати запити щодо уточнення або підтвердження наданої інформації Учасниками, не надання підтвердження наданої інформації буде вважатись як невідповідність  Учасника визначеним у Тендерній документації критеріям та може бути відхилена Замовником.</w:t>
      </w:r>
    </w:p>
    <w:p w:rsidR="00000000" w:rsidDel="00000000" w:rsidP="00000000" w:rsidRDefault="00000000" w:rsidRPr="00000000" w14:paraId="00000056">
      <w:pPr>
        <w:spacing w:after="280" w:lineRule="auto"/>
        <w:jc w:val="both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У разі наявності питань по тендеру всі уточнення надсилати до 09 серпня  2022 року, до 18 год. 00 хв. за київським часом, на адресу: </w:t>
      </w:r>
      <w:r w:rsidDel="00000000" w:rsidR="00000000" w:rsidRPr="00000000">
        <w:rPr>
          <w:b w:val="1"/>
          <w:color w:val="212529"/>
          <w:rtl w:val="0"/>
        </w:rPr>
        <w:t xml:space="preserve">HousingUkraine@gmail.com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у темі листа необхідно вказати</w:t>
      </w:r>
      <w:r w:rsidDel="00000000" w:rsidR="00000000" w:rsidRPr="00000000">
        <w:rPr>
          <w:color w:val="212529"/>
          <w:rtl w:val="0"/>
        </w:rPr>
        <w:t xml:space="preserve"> «Питання -8748/2022/GA/1»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lineRule="auto"/>
        <w:rPr>
          <w:sz w:val="24"/>
          <w:szCs w:val="24"/>
        </w:rPr>
      </w:pPr>
      <w:r w:rsidDel="00000000" w:rsidR="00000000" w:rsidRPr="00000000">
        <w:rPr>
          <w:b w:val="1"/>
          <w:color w:val="212529"/>
          <w:rtl w:val="0"/>
        </w:rPr>
        <w:t xml:space="preserve">КІНЦЕВИЙ ТЕРМІН ПРИЙМАННЯ ТЕНДЕРНИХ ПРОПОЗИЦІЙ ВІД УЧАСНИКІВ ТОРГІВ</w:t>
      </w:r>
      <w:r w:rsidDel="00000000" w:rsidR="00000000" w:rsidRPr="00000000">
        <w:rPr>
          <w:color w:val="212529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lineRule="auto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10 серпня 2022 року, до 10 год. 00 хв. за київським часом.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lineRule="auto"/>
        <w:rPr>
          <w:sz w:val="24"/>
          <w:szCs w:val="24"/>
        </w:rPr>
      </w:pPr>
      <w:r w:rsidDel="00000000" w:rsidR="00000000" w:rsidRPr="00000000">
        <w:rPr>
          <w:b w:val="1"/>
          <w:color w:val="212529"/>
          <w:rtl w:val="0"/>
        </w:rPr>
        <w:t xml:space="preserve">РОЗКРИТТЯ ТЕНДЕРНИХ ПРОПОЗИЦІЙ УЧАСНИКІВ ТОРГІВ ВІДБУДЕТЬСЯ</w:t>
      </w:r>
      <w:r w:rsidDel="00000000" w:rsidR="00000000" w:rsidRPr="00000000">
        <w:rPr>
          <w:color w:val="212529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lineRule="auto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10 серпня 2022 року, о 12:00 год. 00 хв. за київським часом.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lineRule="auto"/>
        <w:rPr>
          <w:sz w:val="24"/>
          <w:szCs w:val="24"/>
        </w:rPr>
      </w:pPr>
      <w:r w:rsidDel="00000000" w:rsidR="00000000" w:rsidRPr="00000000">
        <w:rPr>
          <w:b w:val="1"/>
          <w:color w:val="212529"/>
          <w:rtl w:val="0"/>
        </w:rPr>
        <w:t xml:space="preserve">ОБРАННЯ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ПЕРЕМОЖЦЯ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Найбільш вигідна тендерна пропозиція визначається Тендерним комітетом Хаусінг Юкрейн серед тендерних пропозицій, які відповідають умовам цього Оголошення та умовам Тендерної документації, згідно критеріїв оцінки, які зазначені у Тендерній документації.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lineRule="auto"/>
        <w:ind w:firstLine="70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12529"/>
          <w:rtl w:val="0"/>
        </w:rPr>
        <w:t xml:space="preserve">Визначення переможця даної процедури закупівлі відбудеться протягом 5 (п’яти) календарних днів з дати відкриття тендерних пропозицій з можливістю продовження цього строку за необхідності письмового уточнення інформації, яка міститься у тендерних пропозиціях, не більше ніж на 2 (два) робочих дні.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Результати процедури закупівлі буде повідомлено всім учасникам не пізніше 5 (п’яти) робочих днів з дати прийняття рішення про визначення переможця шляхом оприлюднення на веб-сайті Хаусінг Юкрейн  та шляхом надсилання відповідних повідомлень учасникам тендеру електронною поштою. Переможцю процедури закупівлі упродовж 5 (п’яти) робочих днів, з моменту визнання його переможцем, буде надіслане повідомлення електронною поштою про акцепт його пропозиції.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color w:val="212529"/>
          <w:rtl w:val="0"/>
        </w:rPr>
        <w:t xml:space="preserve">Хаусінг  Юкрейн залишає за собою право вимагати від учасників тендеру додаткові матеріали або інформацію, що підтверджують відповідність окремих положень пропозицій вимогам специфікації та юридичної особи, як учасника даних конкурсних торгів.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lineRule="auto"/>
        <w:ind w:firstLine="708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Учасники тендеру погоджуються з тим, що Хаусінг Юкрейн не повертає матеріали, подані на будь-якій стадії тендеру.</w:t>
      </w:r>
    </w:p>
    <w:p w:rsidR="00000000" w:rsidDel="00000000" w:rsidP="00000000" w:rsidRDefault="00000000" w:rsidRPr="00000000" w14:paraId="00000065">
      <w:pPr>
        <w:spacing w:after="28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Українське законодавство на підставі п. 2 статті 524 Цивільного кодексу України надає право сторонам  визначити грошовий еквівалент зобов'язання в іноземній валюті, а п.2 статті 533 Цивільного кодексу України забезпечує, що якщо у зобов'язанні визначено грошовий еквівалент в іноземній валюті, сума, що підлягає сплаті у гривнях, визначається за офіційним курсом відповідної валюти на день платежу, якщо інший порядок її визначення не встановлений договором або законом чи іншим нормативно-правовим актом.</w:t>
      </w:r>
    </w:p>
    <w:p w:rsidR="00000000" w:rsidDel="00000000" w:rsidP="00000000" w:rsidRDefault="00000000" w:rsidRPr="00000000" w14:paraId="00000066">
      <w:pPr>
        <w:spacing w:after="28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7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uk-UA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14C2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D14C2C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6563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ousingUkrain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lSWSP9OTwqjPWuaHSHzU1DZmA==">AMUW2mWKgVQeQDNHk+OJGoCdjpCT++oVwg5V+ugtN9Lqf0Sg07LhG+E2E5dMmEJBALmuU+gabHTCl8Py7EZDqiWpCZk6KPu1f+vTFU+nNIxUFH+v56bJOGzzJd0uRH9k9tNEjSqpHQEa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2022-07-26T13:24:00Z</dcterms:created>
  <dc:creator>Комнатний Сергій Олександрович</dc:creator>
</cp:coreProperties>
</file>