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Додаток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48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color w:val="0f0fb9"/>
          <w:rtl w:val="0"/>
        </w:rPr>
        <w:t xml:space="preserve">[Бланк організації учасника процедури закупівлі]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5.0" w:type="dxa"/>
        <w:jc w:val="left"/>
        <w:tblInd w:w="0.0" w:type="dxa"/>
        <w:tblLayout w:type="fixed"/>
        <w:tblLook w:val="0400"/>
      </w:tblPr>
      <w:tblGrid>
        <w:gridCol w:w="5708"/>
        <w:gridCol w:w="3627"/>
        <w:tblGridChange w:id="0">
          <w:tblGrid>
            <w:gridCol w:w="5708"/>
            <w:gridCol w:w="362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Заповнюється співробітником Громадської організації «ВСЕУКРАЇНСЬКА ГРОМАДСЬКА ОРГАНІЗАЦІЯ «ХАУСІНГ ЮКРЕЙН»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Дата надходження тендерної пропозиції до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ХАУСІНГ ЮКРЕЙН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Реєстраційний номер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«______» ________________ 2022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№ 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ПІБ____________________________________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підпис________________________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1"/>
          <w:szCs w:val="21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Ознайомившись із оголошенням про проведення тендеру </w:t>
      </w:r>
      <w:r w:rsidDel="00000000" w:rsidR="00000000" w:rsidRPr="00000000">
        <w:rPr>
          <w:sz w:val="24"/>
          <w:szCs w:val="24"/>
          <w:rtl w:val="0"/>
        </w:rPr>
        <w:t xml:space="preserve">на закупівлю програмного продукту  у вигляді результатів комп'ютерного програмування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(в тому числі розробк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технічного завдання та реєстрація інтелектуальної власності) </w:t>
      </w:r>
      <w:r w:rsidDel="00000000" w:rsidR="00000000" w:rsidRPr="00000000">
        <w:rPr>
          <w:sz w:val="24"/>
          <w:szCs w:val="24"/>
          <w:rtl w:val="0"/>
        </w:rPr>
        <w:t xml:space="preserve"> в рамках проєкту «Полегшення доступу до житлових рішень для внутрішньо переміщених осіб (далі – ВПО) та людей, які постраждали від військового конфлікту, на рівні громади», який реалізується в межах  гранту, наданого проєктом Ради Європи «Внутрішнє переміщення в Україні: розробка тривалих рішень. Фаза ІІ»  на підставі договору між Радою Європи та Громадською організацією «Всеукраїнська громадська організація «Хаусінг Юкрейн», (далі по тексту – Хаусінг Юкрейн)  №8748/2022/GA/1 від 21 липня 2022 року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ми, які нижче підписалися, пропонуємо нижчезазначені товари/послуги у відповідності до умов вищезазначеного оголошення про проведення процедури закупівлі  (далі – „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Оголошення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”). Пропозиції за даною закупівлею надані у Таблиці відповідності вимогам Оголошення.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240" w:lineRule="auto"/>
        <w:ind w:left="360" w:firstLine="0"/>
        <w:rPr>
          <w:b w:val="1"/>
          <w:color w:val="366091"/>
          <w:sz w:val="48"/>
          <w:szCs w:val="48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1.Загальні відомості про учасника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00000000002" w:type="dxa"/>
        <w:jc w:val="left"/>
        <w:tblInd w:w="0.0" w:type="dxa"/>
        <w:tblLayout w:type="fixed"/>
        <w:tblLook w:val="0400"/>
      </w:tblPr>
      <w:tblGrid>
        <w:gridCol w:w="2556"/>
        <w:gridCol w:w="6567"/>
        <w:gridCol w:w="222"/>
        <w:tblGridChange w:id="0">
          <w:tblGrid>
            <w:gridCol w:w="2556"/>
            <w:gridCol w:w="6567"/>
            <w:gridCol w:w="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left="360" w:right="1815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Найменування юридичної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Юридична адреса: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Фактична адреса: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Дата державної реєстрації: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ПІБ та посада керівника юридичної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Номер телефону керівника юридичної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Контактна особа: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Номер телефону контактної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Номер факсу контактної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Електронна пошта контактної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Адреса веб-сайту: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Банківські реквізити: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Види діяльності учасника згідно Довідки з ЄДРПОУ та/або Єдиного державного    реєстру   юридичних   осіб   та   фізичних осіб   -   підприємців та/або статуту юридичної особи: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Якщо пропозиція подана агентом (посередником), вказати дійсного постачальника (найменування, адреса):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ТАБЛИЦЯ ВІДПОВІДНОСТІ ВИМОГАМ ОГОЛОШЕННЯ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0.0" w:type="dxa"/>
        <w:tblLayout w:type="fixed"/>
        <w:tblLook w:val="0400"/>
      </w:tblPr>
      <w:tblGrid>
        <w:gridCol w:w="472"/>
        <w:gridCol w:w="5506"/>
        <w:gridCol w:w="3367"/>
        <w:tblGridChange w:id="0">
          <w:tblGrid>
            <w:gridCol w:w="472"/>
            <w:gridCol w:w="5506"/>
            <w:gridCol w:w="3367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Обов’язкові кваліфікаційні вимоги до постачальника товарів або виконавця робіт та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Документи, які підтверджують відповідність кваліфікаційним вимогам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Наявність досвіду роботи (</w:t>
            </w:r>
            <w:r w:rsidDel="00000000" w:rsidR="00000000" w:rsidRPr="00000000">
              <w:rPr>
                <w:color w:val="000000"/>
                <w:rtl w:val="0"/>
              </w:rPr>
              <w:t xml:space="preserve">не менш як 5 років) з надання послуг з розробки технічного завдання та розроблення програмного продукту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5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Інформація щодо реалізованих проектів за останні 1-2 роки: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Технології, які використовувались при створенні програмного продукту;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Підтверджене портфоліо з розроблення  програмних продуктів, аналогічних за контентом та масштабом.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Спроможність компанії та наявність кваліфікованої команди розробників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Підтвердження права на здійснення підприємницької діяльності за законодавством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0.0" w:type="dxa"/>
        <w:tblLayout w:type="fixed"/>
        <w:tblLook w:val="0400"/>
      </w:tblPr>
      <w:tblGrid>
        <w:gridCol w:w="431"/>
        <w:gridCol w:w="3350"/>
        <w:gridCol w:w="5564"/>
        <w:tblGridChange w:id="0">
          <w:tblGrid>
            <w:gridCol w:w="431"/>
            <w:gridCol w:w="3350"/>
            <w:gridCol w:w="55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Обов’язкові технічні вимоги до предмета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Документи, які підтверджують відповідність технічним вимогам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Технічне завдання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(зазначається короткий опис пропозиції)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Програмне забезпечення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(зазначається короткий опис пропозиції)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Супровід та гарантійне обслуговування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(зазначаються  умови технічного супроводу та гарантійного та післягарантійного обслуговування)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Вартість </w:t>
      </w:r>
      <w:r w:rsidDel="00000000" w:rsidR="00000000" w:rsidRPr="00000000">
        <w:rPr>
          <w:b w:val="1"/>
          <w:rtl w:val="0"/>
        </w:rPr>
        <w:t xml:space="preserve">програмного продукту  у вигляді результатів комп'ютерного програмування </w:t>
      </w:r>
      <w:r w:rsidDel="00000000" w:rsidR="00000000" w:rsidRPr="00000000">
        <w:rPr>
          <w:b w:val="1"/>
          <w:color w:val="000000"/>
          <w:rtl w:val="0"/>
        </w:rPr>
        <w:t xml:space="preserve">(в тому числі розробка технічного завдання та реєстрація інтелектуальної власності) в рамках проекту «Полегшення доступу до житлових рішень для ВПО та людей, які постраждали від військового конфлікту, на рівні громади» складає : _______________</w:t>
      </w:r>
      <w:r w:rsidDel="00000000" w:rsidR="00000000" w:rsidRPr="00000000">
        <w:rPr>
          <w:b w:val="1"/>
          <w:rtl w:val="0"/>
        </w:rPr>
        <w:t xml:space="preserve"> гривень 00 копійок, а саме: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360" w:lineRule="auto"/>
        <w:ind w:left="144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розробки технічного завдання______________гривень 00 копійок,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програмний продукт  у вигляді результатів комп'ютерного програмування ______________гривень 00 копійок,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80" w:before="0" w:beforeAutospacing="0" w:lineRule="auto"/>
        <w:ind w:left="144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оформлення і підписання ліцензійного договору та отримання виключної ліцензії на право використання програмного продукту з правом поширення цього продукту третім особам</w:t>
      </w:r>
      <w:r w:rsidDel="00000000" w:rsidR="00000000" w:rsidRPr="00000000">
        <w:rPr>
          <w:b w:val="1"/>
          <w:rtl w:val="0"/>
        </w:rPr>
        <w:t xml:space="preserve">____________гривень 00 копійок, </w:t>
      </w:r>
    </w:p>
    <w:p w:rsidR="00000000" w:rsidDel="00000000" w:rsidP="00000000" w:rsidRDefault="00000000" w:rsidRPr="00000000" w14:paraId="00000063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Підписанням цієї тендерної пропозиції учасник підтверджує,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Невідповідність тендерної пропозиції хоча б одній з технічних та кваліфікаційних вимог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 xml:space="preserve">призводить до автоматичної повної дискваліфікації такої тендерної пропозиції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Підтвердити відповідність можна зазначивши у відповідній графі будь-яке слово згоди: «так», «погоджуємось», «відповідаємо» тощо.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Підписанням та поданням цієї тендерної пропозиції зобов’язується у випадку акцепту цієї пропозиції: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30 календарних днів з дати подачі пропозиції. Ця тендерна пропозиція може бути прийнята (акцептована) Хаусінг Юкрейн в будь-який момент до завершення періоду її дії; 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підписати договір поставки/надання послуг протягом 30-ти днів з дати прийняття (акцепту) цієї тендерної пропозиції з обов’язковим дотриманням положень проекту такого договору. 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поставити необхідний товар / надати вказані вище послуги у відповідності з умовами цієї тендерної пропозиції та проекту договору поставки / надання послуг.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тендерній пропозиції та Оголошенні.</w:t>
      </w:r>
    </w:p>
    <w:p w:rsidR="00000000" w:rsidDel="00000000" w:rsidP="00000000" w:rsidRDefault="00000000" w:rsidRPr="00000000" w14:paraId="0000006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Підписанням та поданням цієї тендерної пропозиції учасник погоджується з наступним: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учасник ознайомлений з Оголошенням, яке опубліковано на веб-сайті Хаусінг Юкрейн http://housing-ukraine.com.ua/ ;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До моменту підписання договору про закупівлю Хаусінг Юкрейн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Хаусінг Юкрейн залишає за собою право відхилити тендерні пропозиції всіх учасників процедури закупівлі;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дана тендерна пропозиція та Оголошення є невід’ємними частинами відповідного договору на закупівлю товарів/послуг, котрий буде укладений Хаусінг Юкрейн з переможцем тендеру;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Хаусінг Юкрейн ;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lineRule="auto"/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:rsidR="00000000" w:rsidDel="00000000" w:rsidP="00000000" w:rsidRDefault="00000000" w:rsidRPr="00000000" w14:paraId="0000007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Цим ми підтверджуємо нашу юридичну, фінансову та іншу спроможність виконати умови даної тендерної пропозиції та Оголошення, укласти договір на закупівлю товарів/послуг та правдивість всіх відомостей зазначених у цій тендерній пропозиції.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________ в особі _____________даною заявою повідомляє, що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не є банкрутом  проти нього не розпочато   процедуру банкрутства, ліквідації,  не перебуває у стадії судової ліквідації, наша господарська діяльність не призупинена і не  перебуває у будь-якій аналогічній ситуації, що випливає з подібної процедури, передбаченої українського законодавством чи правилами.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ab/>
        <w:t xml:space="preserve">Проти працівників _________ не порушено кримінальних справ щодо їхньої професійної діяльності і відсутні вироки, які набрали чинності або вони були предметом судового рішення, яке має силу за шахрайство, корупцію, участь у злочинній організації або будь-якій іншій незаконній діяльності, що завдає шкоди фінансовим інтересам Ради Європи;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___________ відповідає за достовірність  та повноту наданої інформації, необхідної як умови участі в процедурі і не має конфлікту інтересів.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Даною заявою також повідомляю, що _______________ не внесене в жодний санкційний обмежувальний список.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480" w:lineRule="auto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color w:val="366091"/>
          <w:sz w:val="20"/>
          <w:szCs w:val="20"/>
          <w:rtl w:val="0"/>
        </w:rPr>
        <w:t xml:space="preserve">Уповноважений підписати тендерну пропозицію для та від імені </w:t>
      </w:r>
      <w:r w:rsidDel="00000000" w:rsidR="00000000" w:rsidRPr="00000000">
        <w:rPr>
          <w:color w:val="0f0fb9"/>
          <w:sz w:val="20"/>
          <w:szCs w:val="20"/>
          <w:rtl w:val="0"/>
        </w:rPr>
        <w:t xml:space="preserve">[назва юридичної особи/ФОП]</w:t>
      </w:r>
      <w:r w:rsidDel="00000000" w:rsidR="00000000" w:rsidRPr="00000000">
        <w:rPr>
          <w:b w:val="1"/>
          <w:i w:val="1"/>
          <w:color w:val="36609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366091"/>
          <w:sz w:val="20"/>
          <w:szCs w:val="20"/>
          <w:rtl w:val="0"/>
        </w:rPr>
        <w:t xml:space="preserve">згідно  </w:t>
      </w:r>
      <w:r w:rsidDel="00000000" w:rsidR="00000000" w:rsidRPr="00000000">
        <w:rPr>
          <w:color w:val="0f0fb9"/>
          <w:sz w:val="20"/>
          <w:szCs w:val="20"/>
          <w:rtl w:val="0"/>
        </w:rPr>
        <w:t xml:space="preserve">[статуту або довіреності]: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D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_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___________________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                    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                 </w:t>
        <w:tab/>
        <w:t xml:space="preserve">  [Дата]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48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color w:val="366091"/>
          <w:sz w:val="20"/>
          <w:szCs w:val="20"/>
          <w:rtl w:val="0"/>
        </w:rPr>
        <w:t xml:space="preserve">[ПІБ, посада]</w:t>
        <w:tab/>
        <w:tab/>
        <w:tab/>
        <w:tab/>
        <w:tab/>
      </w:r>
      <w:r w:rsidDel="00000000" w:rsidR="00000000" w:rsidRPr="00000000">
        <w:rPr>
          <w:color w:val="366091"/>
          <w:sz w:val="20"/>
          <w:szCs w:val="20"/>
          <w:rtl w:val="0"/>
        </w:rPr>
        <w:t xml:space="preserve">[підпис]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[М.П.]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82">
      <w:pPr>
        <w:spacing w:after="200" w:lineRule="auto"/>
        <w:jc w:val="both"/>
        <w:rPr/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Перелік підтверджуючих документів, які додаються до пропозиції: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3">
      <w:pPr>
        <w:spacing w:after="0" w:lineRule="auto"/>
        <w:rPr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Українське законодавство на підставі п. 2 статті 524 Цивільного кодексу України надає право сторонам  визначити грошовий еквівалент зобов'язання в іноземній валюті, а п.2 статті 533 Цивільного кодексу України забезпечує, що якщо у зобов'язанні визначено грошовий еквівалент в іноземній валюті, сума, що підлягає сплаті у гривнях, визначається за офіційним курсом відповідної валюти на день платежу, якщо інший порядок її визначення не встановлений договором або законом чи іншим нормативно-правовим актом.</w:t>
      </w:r>
    </w:p>
    <w:p w:rsidR="00000000" w:rsidDel="00000000" w:rsidP="00000000" w:rsidRDefault="00000000" w:rsidRPr="00000000" w14:paraId="00000084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uk-UA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